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1287"/>
      <w:bookmarkStart w:id="1" w:name="_Toc10028"/>
      <w:bookmarkStart w:id="2" w:name="_Toc24944"/>
      <w:bookmarkStart w:id="3" w:name="_Toc16608"/>
      <w:bookmarkStart w:id="4" w:name="_Toc20528"/>
      <w:bookmarkStart w:id="5" w:name="_Toc5184"/>
      <w:bookmarkStart w:id="6" w:name="_Toc256000000"/>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教学院长</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1013"/>
      <w:bookmarkStart w:id="8" w:name="_Toc16472"/>
      <w:bookmarkStart w:id="9" w:name="_Toc256000001"/>
      <w:bookmarkStart w:id="10" w:name="_Toc1785"/>
      <w:bookmarkStart w:id="11" w:name="_Toc1038"/>
      <w:bookmarkStart w:id="12" w:name="_Toc24853"/>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296"/>
        </w:tabs>
        <w:rPr>
          <w:rFonts w:asciiTheme="minorHAnsi" w:hAnsiTheme="minorHAnsi"/>
          <w:sz w:val="22"/>
        </w:rPr>
      </w:pPr>
      <w:r>
        <w:fldChar w:fldCharType="begin"/>
      </w:r>
      <w:r>
        <w:instrText xml:space="preserve"> HYPERLINK \l "_Toc256000000" </w:instrText>
      </w:r>
      <w:r>
        <w:fldChar w:fldCharType="separate"/>
      </w:r>
      <w:r>
        <w:rPr>
          <w:rStyle w:val="15"/>
          <w:rFonts w:hint="eastAsia" w:ascii="宋体" w:hAnsi="宋体"/>
          <w:b/>
        </w:rPr>
        <w:t>用户操作手册</w:t>
      </w:r>
      <w:r>
        <w:tab/>
      </w:r>
      <w:r>
        <w:fldChar w:fldCharType="begin"/>
      </w:r>
      <w:r>
        <w:instrText xml:space="preserve"> PAGEREF _Toc256000000 \h </w:instrText>
      </w:r>
      <w:r>
        <w:fldChar w:fldCharType="separate"/>
      </w:r>
      <w:r>
        <w:t>1</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"_Toc256000001" </w:instrText>
      </w:r>
      <w:r>
        <w:fldChar w:fldCharType="separate"/>
      </w:r>
      <w:r>
        <w:rPr>
          <w:rStyle w:val="15"/>
          <w:rFonts w:hint="eastAsia" w:ascii="宋体" w:hAnsi="宋体"/>
        </w:rPr>
        <w:t>重庆泛语科技有限公司</w:t>
      </w:r>
      <w:r>
        <w:tab/>
      </w:r>
      <w:r>
        <w:fldChar w:fldCharType="begin"/>
      </w:r>
      <w:r>
        <w:instrText xml:space="preserve"> PAGEREF _Toc256000001 \h </w:instrText>
      </w:r>
      <w:r>
        <w:fldChar w:fldCharType="separate"/>
      </w:r>
      <w:r>
        <w:t>1</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"_Toc256000002" </w:instrText>
      </w:r>
      <w:r>
        <w:fldChar w:fldCharType="separate"/>
      </w:r>
      <w:r>
        <w:rPr>
          <w:rStyle w:val="15"/>
          <w:rFonts w:ascii="仿宋_GB2312" w:eastAsia="仿宋_GB2312"/>
        </w:rPr>
        <w:t>一、</w:t>
      </w:r>
      <w:r>
        <w:rPr>
          <w:rFonts w:eastAsia="仿宋_GB2312" w:asciiTheme="minorHAnsi" w:hAnsiTheme="minorHAnsi"/>
          <w:sz w:val="22"/>
        </w:rPr>
        <w:tab/>
      </w:r>
      <w:r>
        <w:rPr>
          <w:rStyle w:val="15"/>
          <w:rFonts w:hint="eastAsia" w:ascii="仿宋_GB2312" w:eastAsia="仿宋_GB2312"/>
        </w:rPr>
        <w:t>系统登录</w:t>
      </w:r>
      <w:r>
        <w:tab/>
      </w:r>
      <w:r>
        <w:fldChar w:fldCharType="begin"/>
      </w:r>
      <w:r>
        <w:instrText xml:space="preserve"> PAGEREF _Toc256000002 \h </w:instrText>
      </w:r>
      <w:r>
        <w:fldChar w:fldCharType="separate"/>
      </w:r>
      <w:r>
        <w:t>3</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"_Toc256000003" </w:instrText>
      </w:r>
      <w:r>
        <w:fldChar w:fldCharType="separate"/>
      </w:r>
      <w:r>
        <w:rPr>
          <w:rStyle w:val="15"/>
          <w:rFonts w:ascii="仿宋_GB2312" w:eastAsia="仿宋_GB2312"/>
        </w:rPr>
        <w:t>二、</w:t>
      </w:r>
      <w:r>
        <w:rPr>
          <w:rFonts w:eastAsia="仿宋_GB2312" w:asciiTheme="minorHAnsi" w:hAnsiTheme="minorHAnsi"/>
          <w:sz w:val="22"/>
        </w:rPr>
        <w:tab/>
      </w:r>
      <w:r>
        <w:rPr>
          <w:rStyle w:val="15"/>
          <w:rFonts w:hint="eastAsia" w:ascii="仿宋_GB2312" w:eastAsia="仿宋_GB2312"/>
        </w:rPr>
        <w:t>个人设置</w:t>
      </w:r>
      <w:r>
        <w:tab/>
      </w:r>
      <w:r>
        <w:fldChar w:fldCharType="begin"/>
      </w:r>
      <w:r>
        <w:instrText xml:space="preserve"> PAGEREF _Toc256000003 \h </w:instrText>
      </w:r>
      <w:r>
        <w:fldChar w:fldCharType="separate"/>
      </w:r>
      <w:r>
        <w:t>3</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"_Toc256000004" </w:instrText>
      </w:r>
      <w:r>
        <w:fldChar w:fldCharType="separate"/>
      </w:r>
      <w:r>
        <w:rPr>
          <w:rStyle w:val="15"/>
          <w:rFonts w:hint="eastAsia" w:ascii="宋体" w:hAnsi="宋体" w:cs="宋体"/>
        </w:rPr>
        <w:t>2.1、个人信息</w:t>
      </w:r>
      <w:r>
        <w:tab/>
      </w:r>
      <w:r>
        <w:fldChar w:fldCharType="begin"/>
      </w:r>
      <w:r>
        <w:instrText xml:space="preserve"> PAGEREF _Toc256000004 \h </w:instrText>
      </w:r>
      <w:r>
        <w:fldChar w:fldCharType="separate"/>
      </w:r>
      <w:r>
        <w:t>3</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"_Toc256000005" </w:instrText>
      </w:r>
      <w:r>
        <w:fldChar w:fldCharType="separate"/>
      </w:r>
      <w:r>
        <w:rPr>
          <w:rStyle w:val="15"/>
          <w:rFonts w:hint="eastAsia" w:ascii="宋体" w:hAnsi="宋体" w:cs="宋体"/>
        </w:rPr>
        <w:t>2.2、安全中心</w:t>
      </w:r>
      <w:r>
        <w:tab/>
      </w:r>
      <w:r>
        <w:fldChar w:fldCharType="begin"/>
      </w:r>
      <w:r>
        <w:instrText xml:space="preserve"> PAGEREF _Toc256000005 \h </w:instrText>
      </w:r>
      <w:r>
        <w:fldChar w:fldCharType="separate"/>
      </w:r>
      <w:r>
        <w:t>4</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"_Toc256000006" </w:instrText>
      </w:r>
      <w:r>
        <w:fldChar w:fldCharType="separate"/>
      </w:r>
      <w:r>
        <w:rPr>
          <w:rStyle w:val="15"/>
          <w:rFonts w:ascii="仿宋_GB2312" w:eastAsia="仿宋_GB2312"/>
        </w:rPr>
        <w:t>三、</w:t>
      </w:r>
      <w:r>
        <w:rPr>
          <w:rFonts w:eastAsia="仿宋_GB2312" w:asciiTheme="minorHAnsi" w:hAnsiTheme="minorHAnsi"/>
          <w:sz w:val="22"/>
        </w:rPr>
        <w:tab/>
      </w:r>
      <w:r>
        <w:rPr>
          <w:rStyle w:val="15"/>
          <w:rFonts w:hint="eastAsia" w:ascii="仿宋_GB2312" w:eastAsia="仿宋_GB2312"/>
        </w:rPr>
        <w:t>系统主流程及操作方法</w:t>
      </w:r>
      <w:r>
        <w:tab/>
      </w:r>
      <w:r>
        <w:fldChar w:fldCharType="begin"/>
      </w:r>
      <w:r>
        <w:instrText xml:space="preserve"> PAGEREF _Toc256000006 \h </w:instrText>
      </w:r>
      <w:r>
        <w:fldChar w:fldCharType="separate"/>
      </w:r>
      <w:r>
        <w:t>5</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"_Toc256000007" </w:instrText>
      </w:r>
      <w:r>
        <w:fldChar w:fldCharType="separate"/>
      </w:r>
      <w:r>
        <w:rPr>
          <w:rStyle w:val="15"/>
        </w:rPr>
        <w:t>1.选题管理</w:t>
      </w:r>
      <w:r>
        <w:tab/>
      </w:r>
      <w:r>
        <w:fldChar w:fldCharType="begin"/>
      </w:r>
      <w:r>
        <w:instrText xml:space="preserve"> PAGEREF _Toc256000007 \h </w:instrText>
      </w:r>
      <w:r>
        <w:fldChar w:fldCharType="separate"/>
      </w:r>
      <w:r>
        <w:t>5</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"_Toc256000008" </w:instrText>
      </w:r>
      <w:r>
        <w:fldChar w:fldCharType="separate"/>
      </w:r>
      <w:r>
        <w:rPr>
          <w:rStyle w:val="15"/>
        </w:rPr>
        <w:t>1.1课题</w:t>
      </w:r>
      <w:r>
        <w:tab/>
      </w:r>
      <w:r>
        <w:fldChar w:fldCharType="begin"/>
      </w:r>
      <w:r>
        <w:instrText xml:space="preserve"> PAGEREF _Toc256000008 \h </w:instrText>
      </w:r>
      <w:r>
        <w:fldChar w:fldCharType="separate"/>
      </w:r>
      <w:r>
        <w:t>5</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"_Toc256000009" </w:instrText>
      </w:r>
      <w:r>
        <w:fldChar w:fldCharType="separate"/>
      </w:r>
      <w:r>
        <w:rPr>
          <w:rStyle w:val="15"/>
        </w:rPr>
        <w:t>1.1.1审核课题</w:t>
      </w:r>
      <w:r>
        <w:tab/>
      </w:r>
      <w:r>
        <w:fldChar w:fldCharType="begin"/>
      </w:r>
      <w:r>
        <w:instrText xml:space="preserve"> PAGEREF _Toc256000009 \h </w:instrText>
      </w:r>
      <w:r>
        <w:fldChar w:fldCharType="separate"/>
      </w:r>
      <w:r>
        <w:t>5</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"_Toc256000010" </w:instrText>
      </w:r>
      <w:r>
        <w:fldChar w:fldCharType="separate"/>
      </w:r>
      <w:r>
        <w:rPr>
          <w:rStyle w:val="15"/>
        </w:rPr>
        <w:t>2.评分管理</w:t>
      </w:r>
      <w:r>
        <w:tab/>
      </w:r>
      <w:r>
        <w:fldChar w:fldCharType="begin"/>
      </w:r>
      <w:r>
        <w:instrText xml:space="preserve"> PAGEREF _Toc256000010 \h </w:instrText>
      </w:r>
      <w:r>
        <w:fldChar w:fldCharType="separate"/>
      </w:r>
      <w:r>
        <w:t>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"_Toc256000011" </w:instrText>
      </w:r>
      <w:r>
        <w:fldChar w:fldCharType="separate"/>
      </w:r>
      <w:r>
        <w:rPr>
          <w:rStyle w:val="15"/>
        </w:rPr>
        <w:t>2.1分配答辩组</w:t>
      </w:r>
      <w:r>
        <w:tab/>
      </w:r>
      <w:r>
        <w:fldChar w:fldCharType="begin"/>
      </w:r>
      <w:r>
        <w:instrText xml:space="preserve"> PAGEREF _Toc256000011 \h </w:instrText>
      </w:r>
      <w:r>
        <w:fldChar w:fldCharType="separate"/>
      </w:r>
      <w:r>
        <w:t>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"_Toc256000012" </w:instrText>
      </w:r>
      <w:r>
        <w:fldChar w:fldCharType="separate"/>
      </w:r>
      <w:r>
        <w:rPr>
          <w:rStyle w:val="15"/>
        </w:rPr>
        <w:t>2.2分配评阅教师</w:t>
      </w:r>
      <w:r>
        <w:tab/>
      </w:r>
      <w:r>
        <w:fldChar w:fldCharType="begin"/>
      </w:r>
      <w:r>
        <w:instrText xml:space="preserve"> PAGEREF _Toc256000012 \h </w:instrText>
      </w:r>
      <w:r>
        <w:fldChar w:fldCharType="separate"/>
      </w:r>
      <w:r>
        <w:t>8</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"_Toc256000013" </w:instrText>
      </w:r>
      <w:r>
        <w:fldChar w:fldCharType="separate"/>
      </w:r>
      <w:r>
        <w:rPr>
          <w:rStyle w:val="15"/>
        </w:rPr>
        <w:t>2.3总评</w:t>
      </w:r>
      <w:r>
        <w:tab/>
      </w:r>
      <w:r>
        <w:fldChar w:fldCharType="begin"/>
      </w:r>
      <w:r>
        <w:instrText xml:space="preserve"> PAGEREF _Toc256000013 \h </w:instrText>
      </w:r>
      <w:r>
        <w:fldChar w:fldCharType="separate"/>
      </w:r>
      <w:r>
        <w:t>9</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"_Toc256000014" </w:instrText>
      </w:r>
      <w:r>
        <w:fldChar w:fldCharType="separate"/>
      </w:r>
      <w:r>
        <w:rPr>
          <w:rStyle w:val="15"/>
        </w:rPr>
        <w:t>2.3.1查看总评成绩</w:t>
      </w:r>
      <w:r>
        <w:tab/>
      </w:r>
      <w:r>
        <w:fldChar w:fldCharType="begin"/>
      </w:r>
      <w:r>
        <w:instrText xml:space="preserve"> PAGEREF _Toc256000014 \h </w:instrText>
      </w:r>
      <w:r>
        <w:fldChar w:fldCharType="separate"/>
      </w:r>
      <w:r>
        <w:t>9</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"_Toc256000015" </w:instrText>
      </w:r>
      <w:r>
        <w:fldChar w:fldCharType="separate"/>
      </w:r>
      <w:r>
        <w:rPr>
          <w:rStyle w:val="15"/>
          <w:rFonts w:ascii="仿宋_GB2312" w:eastAsia="仿宋_GB2312"/>
        </w:rPr>
        <w:t>四、</w:t>
      </w:r>
      <w:r>
        <w:rPr>
          <w:rFonts w:eastAsia="仿宋_GB2312" w:asciiTheme="minorHAnsi" w:hAnsiTheme="minorHAnsi"/>
          <w:sz w:val="22"/>
        </w:rPr>
        <w:tab/>
      </w:r>
      <w:r>
        <w:rPr>
          <w:rStyle w:val="15"/>
          <w:rFonts w:hint="eastAsia" w:ascii="仿宋_GB2312" w:eastAsia="仿宋_GB2312"/>
        </w:rPr>
        <w:t>信息管理</w:t>
      </w:r>
      <w:r>
        <w:tab/>
      </w:r>
      <w:r>
        <w:fldChar w:fldCharType="begin"/>
      </w:r>
      <w:r>
        <w:instrText xml:space="preserve"> PAGEREF _Toc256000015 \h </w:instrText>
      </w:r>
      <w:r>
        <w:fldChar w:fldCharType="separate"/>
      </w:r>
      <w:r>
        <w:t>10</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"_Toc256000016" </w:instrText>
      </w:r>
      <w:r>
        <w:fldChar w:fldCharType="separate"/>
      </w:r>
      <w:r>
        <w:rPr>
          <w:rStyle w:val="15"/>
          <w:rFonts w:hint="eastAsia"/>
        </w:rPr>
        <w:t>1、站内信</w:t>
      </w:r>
      <w:r>
        <w:tab/>
      </w:r>
      <w:r>
        <w:fldChar w:fldCharType="begin"/>
      </w:r>
      <w:r>
        <w:instrText xml:space="preserve"> PAGEREF _Toc256000016 \h </w:instrText>
      </w:r>
      <w:r>
        <w:fldChar w:fldCharType="separate"/>
      </w:r>
      <w:r>
        <w:t>10</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"_Toc256000017" </w:instrText>
      </w:r>
      <w:r>
        <w:fldChar w:fldCharType="separate"/>
      </w:r>
      <w:r>
        <w:rPr>
          <w:rStyle w:val="15"/>
          <w:rFonts w:hint="eastAsia"/>
        </w:rPr>
        <w:t>2、公告管理</w:t>
      </w:r>
      <w:r>
        <w:tab/>
      </w:r>
      <w:r>
        <w:fldChar w:fldCharType="begin"/>
      </w:r>
      <w:r>
        <w:instrText xml:space="preserve"> PAGEREF _Toc256000017 \h </w:instrText>
      </w:r>
      <w:r>
        <w:fldChar w:fldCharType="separate"/>
      </w:r>
      <w:r>
        <w:t>10</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"_Toc256000018" </w:instrText>
      </w:r>
      <w:r>
        <w:fldChar w:fldCharType="separate"/>
      </w:r>
      <w:r>
        <w:rPr>
          <w:rStyle w:val="15"/>
          <w:rFonts w:ascii="仿宋_GB2312" w:eastAsia="仿宋_GB2312"/>
        </w:rPr>
        <w:t>五、</w:t>
      </w:r>
      <w:r>
        <w:rPr>
          <w:rFonts w:eastAsia="仿宋_GB2312" w:asciiTheme="minorHAnsi" w:hAnsiTheme="minorHAnsi"/>
          <w:sz w:val="22"/>
        </w:rPr>
        <w:tab/>
      </w:r>
      <w:r>
        <w:rPr>
          <w:rStyle w:val="15"/>
          <w:rFonts w:hint="eastAsia" w:ascii="仿宋_GB2312" w:eastAsia="仿宋_GB2312"/>
        </w:rPr>
        <w:t>常见问题</w:t>
      </w:r>
      <w:r>
        <w:tab/>
      </w:r>
      <w:r>
        <w:fldChar w:fldCharType="begin"/>
      </w:r>
      <w:r>
        <w:instrText xml:space="preserve"> PAGEREF _Toc256000018 \h </w:instrText>
      </w:r>
      <w:r>
        <w:fldChar w:fldCharType="separate"/>
      </w:r>
      <w:r>
        <w:t>11</w:t>
      </w:r>
      <w:r>
        <w:fldChar w:fldCharType="end"/>
      </w:r>
      <w:r>
        <w:fldChar w:fldCharType="end"/>
      </w:r>
    </w:p>
    <w:p>
      <w:pPr>
        <w:ind w:firstLine="2100" w:firstLineChars="1000"/>
        <w:jc w:val="left"/>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14559"/>
      <w:bookmarkStart w:id="14" w:name="_Toc11857"/>
      <w:bookmarkStart w:id="15" w:name="_Toc32075"/>
      <w:bookmarkStart w:id="16" w:name="_Toc256000002"/>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r>
        <w:rPr>
          <w:rFonts w:hint="eastAsia" w:ascii="宋体" w:hAnsi="宋体" w:eastAsia="宋体" w:cs="宋体"/>
          <w:color w:val="303030"/>
          <w:sz w:val="24"/>
          <w:szCs w:val="28"/>
        </w:rPr>
        <w:t>，输入账号和密码（账号为工号，初始密码：bbc@123456</w:t>
      </w:r>
      <w:bookmarkStart w:id="68" w:name="_GoBack"/>
      <w:bookmarkEnd w:id="68"/>
      <w:r>
        <w:rPr>
          <w:rFonts w:hint="eastAsia" w:ascii="宋体" w:hAnsi="宋体" w:eastAsia="宋体" w:cs="宋体"/>
          <w:color w:val="303030"/>
          <w:sz w:val="24"/>
          <w:szCs w:val="28"/>
        </w:rPr>
        <w:t>），点击登录即可。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21536"/>
      <w:bookmarkStart w:id="19" w:name="_Toc256000003"/>
      <w:bookmarkStart w:id="20" w:name="_Toc23876"/>
      <w:bookmarkStart w:id="21" w:name="_Toc12528"/>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21086"/>
      <w:bookmarkStart w:id="23" w:name="_Toc775"/>
      <w:bookmarkStart w:id="24" w:name="_Toc3167"/>
      <w:bookmarkStart w:id="25" w:name="_Toc256000004"/>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20940"/>
      <w:bookmarkStart w:id="27" w:name="_Toc32531"/>
      <w:bookmarkStart w:id="28" w:name="_Toc256000005"/>
      <w:bookmarkStart w:id="29" w:name="_Toc27356"/>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6721"/>
      <w:bookmarkStart w:id="31" w:name="_Toc25080"/>
      <w:bookmarkStart w:id="32" w:name="_Toc27008"/>
      <w:bookmarkStart w:id="33" w:name="_Toc256000006"/>
      <w:bookmarkStart w:id="34" w:name="_Toc24407"/>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256000007"/>
      <w:r>
        <w:rPr>
          <w:u w:color="auto"/>
        </w:rPr>
        <w:t>1.选题管理</w:t>
      </w:r>
      <w:bookmarkEnd w:id="35"/>
    </w:p>
    <w:p>
      <w:pPr>
        <w:pStyle w:val="3"/>
        <w:jc w:val="left"/>
      </w:pPr>
      <w:bookmarkStart w:id="36" w:name="_Toc256000008"/>
      <w:r>
        <w:rPr>
          <w:u w:color="auto"/>
        </w:rPr>
        <w:t>1.1课题</w:t>
      </w:r>
      <w:bookmarkEnd w:id="36"/>
    </w:p>
    <w:p>
      <w:pPr>
        <w:pStyle w:val="4"/>
        <w:jc w:val="left"/>
      </w:pPr>
      <w:bookmarkStart w:id="37" w:name="_Toc256000009"/>
      <w:r>
        <w:rPr>
          <w:u w:color="auto"/>
        </w:rPr>
        <w:t>1.1.1审核课题</w:t>
      </w:r>
      <w:bookmarkEnd w:id="37"/>
    </w:p>
    <w:p>
      <w:pPr>
        <w:keepLines/>
        <w:ind w:firstLine="420" w:firstLineChars="200"/>
        <w:jc w:val="left"/>
      </w:pPr>
      <w:r>
        <w:rPr>
          <w:rFonts w:ascii="宋体" w:hAnsi="宋体" w:eastAsia="宋体" w:cs="宋体"/>
          <w:sz w:val="21"/>
          <w:u w:color="auto"/>
        </w:rPr>
        <w:t>用户点击左侧菜单进入“选题管理”—“课题”—“审核课题”页面。</w:t>
      </w:r>
    </w:p>
    <w:p>
      <w:pPr>
        <w:keepLines/>
        <w:ind w:firstLine="420" w:firstLineChars="200"/>
        <w:jc w:val="left"/>
      </w:pPr>
      <w:r>
        <w:rPr>
          <w:rFonts w:ascii="宋体" w:hAnsi="宋体" w:eastAsia="宋体" w:cs="宋体"/>
          <w:sz w:val="21"/>
          <w:u w:color="auto"/>
        </w:rPr>
        <w:t>点击页面“审核”按钮即可跳转审核详情界面——选择通过或不通过，填写审核意见——点击“确认”。</w:t>
      </w:r>
    </w:p>
    <w:p>
      <w:pPr>
        <w:jc w:val="center"/>
      </w:pPr>
      <w:r>
        <w:rPr>
          <w:u w:color="auto"/>
        </w:rPr>
        <w:drawing>
          <wp:inline distT="0" distB="0" distL="0" distR="0">
            <wp:extent cx="5267325" cy="762000"/>
            <wp:effectExtent l="0" t="0" r="15875" b="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762000"/>
                    </a:xfrm>
                    <a:prstGeom prst="rect">
                      <a:avLst/>
                    </a:prstGeom>
                  </pic:spPr>
                </pic:pic>
              </a:graphicData>
            </a:graphic>
          </wp:inline>
        </w:drawing>
      </w:r>
    </w:p>
    <w:p>
      <w:pPr>
        <w:jc w:val="center"/>
      </w:pPr>
      <w:r>
        <w:rPr>
          <w:u w:color="auto"/>
        </w:rPr>
        <w:drawing>
          <wp:inline distT="0" distB="0" distL="0" distR="0">
            <wp:extent cx="5267325" cy="2705100"/>
            <wp:effectExtent l="0" t="0" r="15875" b="12700"/>
            <wp:docPr id="1375757546"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757546" name="Drawing 2" descr="Generated"/>
                    <pic:cNvPicPr>
                      <a:picLocks noChangeAspect="1"/>
                    </pic:cNvPicPr>
                  </pic:nvPicPr>
                  <pic:blipFill>
                    <a:blip r:embed="rId13"/>
                    <a:stretch>
                      <a:fillRect/>
                    </a:stretch>
                  </pic:blipFill>
                  <pic:spPr>
                    <a:xfrm>
                      <a:off x="0" y="0"/>
                      <a:ext cx="5267325" cy="2705100"/>
                    </a:xfrm>
                    <a:prstGeom prst="rect">
                      <a:avLst/>
                    </a:prstGeom>
                  </pic:spPr>
                </pic:pic>
              </a:graphicData>
            </a:graphic>
          </wp:inline>
        </w:drawing>
      </w:r>
    </w:p>
    <w:p>
      <w:pPr>
        <w:jc w:val="center"/>
      </w:pPr>
      <w:r>
        <w:rPr>
          <w:u w:color="auto"/>
        </w:rPr>
        <w:drawing>
          <wp:inline distT="0" distB="0" distL="0" distR="0">
            <wp:extent cx="5267325" cy="3276600"/>
            <wp:effectExtent l="0" t="0" r="15875" b="0"/>
            <wp:docPr id="1068278274"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278274" name="Drawing 3" descr="Generated"/>
                    <pic:cNvPicPr>
                      <a:picLocks noChangeAspect="1"/>
                    </pic:cNvPicPr>
                  </pic:nvPicPr>
                  <pic:blipFill>
                    <a:blip r:embed="rId14"/>
                    <a:stretch>
                      <a:fillRect/>
                    </a:stretch>
                  </pic:blipFill>
                  <pic:spPr>
                    <a:xfrm>
                      <a:off x="0" y="0"/>
                      <a:ext cx="5267325" cy="3276600"/>
                    </a:xfrm>
                    <a:prstGeom prst="rect">
                      <a:avLst/>
                    </a:prstGeom>
                  </pic:spPr>
                </pic:pic>
              </a:graphicData>
            </a:graphic>
          </wp:inline>
        </w:drawing>
      </w:r>
    </w:p>
    <w:p>
      <w:pPr>
        <w:pStyle w:val="2"/>
        <w:jc w:val="left"/>
      </w:pPr>
      <w:bookmarkStart w:id="38" w:name="_Toc256000010"/>
      <w:r>
        <w:rPr>
          <w:u w:color="auto"/>
        </w:rPr>
        <w:t>2.评分管理</w:t>
      </w:r>
      <w:bookmarkEnd w:id="38"/>
    </w:p>
    <w:p>
      <w:pPr>
        <w:pStyle w:val="3"/>
        <w:jc w:val="left"/>
      </w:pPr>
      <w:bookmarkStart w:id="39" w:name="_Toc256000011"/>
      <w:r>
        <w:rPr>
          <w:u w:color="auto"/>
        </w:rPr>
        <w:t>2.1分配答辩组</w:t>
      </w:r>
      <w:bookmarkEnd w:id="39"/>
    </w:p>
    <w:p>
      <w:pPr>
        <w:keepLines/>
        <w:ind w:firstLine="420" w:firstLineChars="200"/>
        <w:jc w:val="left"/>
      </w:pPr>
      <w:r>
        <w:rPr>
          <w:rFonts w:ascii="宋体" w:hAnsi="宋体" w:eastAsia="宋体" w:cs="宋体"/>
          <w:sz w:val="21"/>
          <w:u w:color="auto"/>
        </w:rPr>
        <w:t>第1步：选择左边菜单栏“评分管理”-“分配答辩组”——选择“答辩小组评分”——点击页面“新增”按钮即可跳转建立答辩组的详情界面——填写答辩组信息——点击保存；rrrr</w:t>
      </w:r>
    </w:p>
    <w:p>
      <w:pPr>
        <w:keepLines/>
        <w:ind w:firstLine="420" w:firstLineChars="200"/>
        <w:jc w:val="left"/>
      </w:pPr>
      <w:r>
        <w:rPr>
          <w:rFonts w:ascii="宋体" w:hAnsi="宋体" w:eastAsia="宋体" w:cs="宋体"/>
          <w:sz w:val="21"/>
          <w:u w:color="auto"/>
        </w:rPr>
        <w:t>第2步：点击答辩组信息右侧“分配学生”按钮进入学生分配详情页面——点击学生信息右侧“分配”按钮即可将该学生分配到该答辩组。rr</w:t>
      </w:r>
    </w:p>
    <w:p>
      <w:pPr>
        <w:jc w:val="center"/>
      </w:pPr>
      <w:r>
        <w:rPr>
          <w:u w:color="auto"/>
        </w:rPr>
        <w:drawing>
          <wp:inline distT="0" distB="0" distL="0" distR="0">
            <wp:extent cx="5267325" cy="485775"/>
            <wp:effectExtent l="0" t="0" r="15875" b="22225"/>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5"/>
                    <a:stretch>
                      <a:fillRect/>
                    </a:stretch>
                  </pic:blipFill>
                  <pic:spPr>
                    <a:xfrm>
                      <a:off x="0" y="0"/>
                      <a:ext cx="5267325" cy="485775"/>
                    </a:xfrm>
                    <a:prstGeom prst="rect">
                      <a:avLst/>
                    </a:prstGeom>
                  </pic:spPr>
                </pic:pic>
              </a:graphicData>
            </a:graphic>
          </wp:inline>
        </w:drawing>
      </w:r>
    </w:p>
    <w:p>
      <w:pPr>
        <w:jc w:val="center"/>
      </w:pPr>
      <w:r>
        <w:rPr>
          <w:u w:color="auto"/>
        </w:rPr>
        <w:drawing>
          <wp:inline distT="0" distB="0" distL="0" distR="0">
            <wp:extent cx="5267325" cy="3324225"/>
            <wp:effectExtent l="0" t="0" r="15875" b="3175"/>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6"/>
                    <a:stretch>
                      <a:fillRect/>
                    </a:stretch>
                  </pic:blipFill>
                  <pic:spPr>
                    <a:xfrm>
                      <a:off x="0" y="0"/>
                      <a:ext cx="5267325" cy="3324225"/>
                    </a:xfrm>
                    <a:prstGeom prst="rect">
                      <a:avLst/>
                    </a:prstGeom>
                  </pic:spPr>
                </pic:pic>
              </a:graphicData>
            </a:graphic>
          </wp:inline>
        </w:drawing>
      </w:r>
    </w:p>
    <w:p>
      <w:pPr>
        <w:jc w:val="center"/>
      </w:pPr>
      <w:r>
        <w:rPr>
          <w:u w:color="auto"/>
        </w:rPr>
        <w:drawing>
          <wp:inline distT="0" distB="0" distL="0" distR="0">
            <wp:extent cx="5267325" cy="3305175"/>
            <wp:effectExtent l="0" t="0" r="15875" b="22225"/>
            <wp:docPr id="416703406"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703406" name="Drawing 6" descr="Generated"/>
                    <pic:cNvPicPr>
                      <a:picLocks noChangeAspect="1"/>
                    </pic:cNvPicPr>
                  </pic:nvPicPr>
                  <pic:blipFill>
                    <a:blip r:embed="rId17"/>
                    <a:stretch>
                      <a:fillRect/>
                    </a:stretch>
                  </pic:blipFill>
                  <pic:spPr>
                    <a:xfrm>
                      <a:off x="0" y="0"/>
                      <a:ext cx="5267325" cy="3305175"/>
                    </a:xfrm>
                    <a:prstGeom prst="rect">
                      <a:avLst/>
                    </a:prstGeom>
                  </pic:spPr>
                </pic:pic>
              </a:graphicData>
            </a:graphic>
          </wp:inline>
        </w:drawing>
      </w:r>
    </w:p>
    <w:p>
      <w:pPr>
        <w:jc w:val="center"/>
      </w:pPr>
      <w:r>
        <w:rPr>
          <w:u w:color="auto"/>
        </w:rPr>
        <w:drawing>
          <wp:inline distT="0" distB="0" distL="0" distR="0">
            <wp:extent cx="5267325" cy="2419350"/>
            <wp:effectExtent l="0" t="0" r="15875" b="19050"/>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2419350"/>
                    </a:xfrm>
                    <a:prstGeom prst="rect">
                      <a:avLst/>
                    </a:prstGeom>
                  </pic:spPr>
                </pic:pic>
              </a:graphicData>
            </a:graphic>
          </wp:inline>
        </w:drawing>
      </w:r>
    </w:p>
    <w:p>
      <w:pPr>
        <w:jc w:val="center"/>
      </w:pPr>
      <w:r>
        <w:rPr>
          <w:u w:color="auto"/>
        </w:rPr>
        <w:drawing>
          <wp:inline distT="0" distB="0" distL="0" distR="0">
            <wp:extent cx="5267325" cy="3429000"/>
            <wp:effectExtent l="0" t="0" r="15875" b="0"/>
            <wp:docPr id="598077200"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077200" name="Drawing 8" descr="Generated"/>
                    <pic:cNvPicPr>
                      <a:picLocks noChangeAspect="1"/>
                    </pic:cNvPicPr>
                  </pic:nvPicPr>
                  <pic:blipFill>
                    <a:blip r:embed="rId19"/>
                    <a:stretch>
                      <a:fillRect/>
                    </a:stretch>
                  </pic:blipFill>
                  <pic:spPr>
                    <a:xfrm>
                      <a:off x="0" y="0"/>
                      <a:ext cx="5267325" cy="3429000"/>
                    </a:xfrm>
                    <a:prstGeom prst="rect">
                      <a:avLst/>
                    </a:prstGeom>
                  </pic:spPr>
                </pic:pic>
              </a:graphicData>
            </a:graphic>
          </wp:inline>
        </w:drawing>
      </w:r>
    </w:p>
    <w:p>
      <w:pPr>
        <w:pStyle w:val="3"/>
        <w:jc w:val="left"/>
      </w:pPr>
      <w:bookmarkStart w:id="40" w:name="_Toc256000012"/>
      <w:r>
        <w:rPr>
          <w:u w:color="auto"/>
        </w:rPr>
        <w:t>2.2分配评阅教师</w:t>
      </w:r>
      <w:bookmarkEnd w:id="40"/>
    </w:p>
    <w:p>
      <w:pPr>
        <w:keepLines/>
        <w:ind w:firstLine="420" w:firstLineChars="200"/>
        <w:jc w:val="left"/>
      </w:pPr>
      <w:r>
        <w:rPr>
          <w:rFonts w:ascii="宋体" w:hAnsi="宋体" w:eastAsia="宋体" w:cs="宋体"/>
          <w:sz w:val="21"/>
          <w:u w:color="auto"/>
        </w:rPr>
        <w:t>选择左边菜单栏“过程管理”——“分配评阅教师”——点击页面“分配评阅教师”</w:t>
      </w:r>
    </w:p>
    <w:p>
      <w:pPr>
        <w:keepLines/>
        <w:ind w:firstLine="420" w:firstLineChars="200"/>
        <w:jc w:val="left"/>
      </w:pPr>
      <w:r>
        <w:rPr>
          <w:rFonts w:ascii="宋体" w:hAnsi="宋体" w:eastAsia="宋体" w:cs="宋体"/>
          <w:sz w:val="21"/>
          <w:u w:color="auto"/>
        </w:rPr>
        <w:t>点击右侧“分配学生”按钮进入学生分配详情页面——点击学生信息右侧“分配”按钮即可将该学生分配。</w:t>
      </w:r>
    </w:p>
    <w:p>
      <w:pPr>
        <w:jc w:val="center"/>
      </w:pPr>
      <w:r>
        <w:rPr>
          <w:u w:color="auto"/>
        </w:rPr>
        <w:drawing>
          <wp:inline distT="0" distB="0" distL="0" distR="0">
            <wp:extent cx="5267325" cy="476250"/>
            <wp:effectExtent l="0" t="0" r="15875" b="6350"/>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476250"/>
                    </a:xfrm>
                    <a:prstGeom prst="rect">
                      <a:avLst/>
                    </a:prstGeom>
                  </pic:spPr>
                </pic:pic>
              </a:graphicData>
            </a:graphic>
          </wp:inline>
        </w:drawing>
      </w:r>
    </w:p>
    <w:p>
      <w:pPr>
        <w:jc w:val="center"/>
      </w:pPr>
      <w:r>
        <w:rPr>
          <w:u w:color="auto"/>
        </w:rPr>
        <w:drawing>
          <wp:inline distT="0" distB="0" distL="0" distR="0">
            <wp:extent cx="5267325" cy="2847975"/>
            <wp:effectExtent l="0" t="0" r="15875" b="22225"/>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2847975"/>
                    </a:xfrm>
                    <a:prstGeom prst="rect">
                      <a:avLst/>
                    </a:prstGeom>
                  </pic:spPr>
                </pic:pic>
              </a:graphicData>
            </a:graphic>
          </wp:inline>
        </w:drawing>
      </w:r>
    </w:p>
    <w:p>
      <w:pPr>
        <w:pStyle w:val="3"/>
        <w:jc w:val="left"/>
      </w:pPr>
      <w:bookmarkStart w:id="41" w:name="_Toc256000013"/>
      <w:r>
        <w:rPr>
          <w:u w:color="auto"/>
        </w:rPr>
        <w:t>2.3总评</w:t>
      </w:r>
      <w:bookmarkEnd w:id="41"/>
    </w:p>
    <w:p>
      <w:pPr>
        <w:pStyle w:val="4"/>
        <w:jc w:val="left"/>
      </w:pPr>
      <w:bookmarkStart w:id="42" w:name="_Toc256000014"/>
      <w:r>
        <w:rPr>
          <w:u w:color="auto"/>
        </w:rPr>
        <w:t>2.3.1查看总评成绩</w:t>
      </w:r>
      <w:bookmarkEnd w:id="42"/>
    </w:p>
    <w:p>
      <w:pPr>
        <w:keepLines/>
        <w:ind w:firstLine="420" w:firstLineChars="200"/>
        <w:jc w:val="left"/>
      </w:pPr>
      <w:r>
        <w:rPr>
          <w:rFonts w:ascii="宋体" w:hAnsi="宋体" w:eastAsia="宋体" w:cs="宋体"/>
          <w:sz w:val="21"/>
          <w:u w:color="auto"/>
        </w:rPr>
        <w:t>第1步：选择左边菜单栏“评分管理”-“总评”——点击页面“更新总评成绩”按钮可以更新学生总评成绩；</w:t>
      </w:r>
    </w:p>
    <w:p>
      <w:pPr>
        <w:keepLines/>
        <w:ind w:firstLine="420" w:firstLineChars="200"/>
        <w:jc w:val="left"/>
      </w:pPr>
      <w:r>
        <w:rPr>
          <w:rFonts w:ascii="宋体" w:hAnsi="宋体" w:eastAsia="宋体" w:cs="宋体"/>
          <w:sz w:val="21"/>
          <w:u w:color="auto"/>
        </w:rPr>
        <w:t>第2步：确认总评无误后可点击“公布总评成绩”，公布后学生端可在首页查看成绩。</w:t>
      </w:r>
    </w:p>
    <w:p>
      <w:pPr>
        <w:jc w:val="center"/>
      </w:pPr>
      <w:r>
        <w:rPr>
          <w:u w:color="auto"/>
        </w:rPr>
        <w:drawing>
          <wp:inline distT="0" distB="0" distL="0" distR="0">
            <wp:extent cx="5267325" cy="638175"/>
            <wp:effectExtent l="0" t="0" r="15875" b="22225"/>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2"/>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924175"/>
            <wp:effectExtent l="0" t="0" r="15875" b="22225"/>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3"/>
                    <a:stretch>
                      <a:fillRect/>
                    </a:stretch>
                  </pic:blipFill>
                  <pic:spPr>
                    <a:xfrm>
                      <a:off x="0" y="0"/>
                      <a:ext cx="5267325" cy="2924175"/>
                    </a:xfrm>
                    <a:prstGeom prst="rect">
                      <a:avLst/>
                    </a:prstGeom>
                  </pic:spPr>
                </pic:pic>
              </a:graphicData>
            </a:graphic>
          </wp:inline>
        </w:drawing>
      </w:r>
    </w:p>
    <w:p>
      <w:pPr>
        <w:jc w:val="center"/>
      </w:pPr>
      <w:r>
        <w:rPr>
          <w:u w:color="auto"/>
        </w:rPr>
        <w:drawing>
          <wp:inline distT="0" distB="0" distL="0" distR="0">
            <wp:extent cx="5267325" cy="2790825"/>
            <wp:effectExtent l="0" t="0" r="15875" b="3175"/>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4"/>
                    <a:stretch>
                      <a:fillRect/>
                    </a:stretch>
                  </pic:blipFill>
                  <pic:spPr>
                    <a:xfrm>
                      <a:off x="0" y="0"/>
                      <a:ext cx="5267325" cy="2790825"/>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43" w:name="_Toc256000015"/>
      <w:bookmarkStart w:id="44" w:name="_Toc22406"/>
      <w:bookmarkStart w:id="45" w:name="_Toc21113907"/>
      <w:bookmarkStart w:id="46" w:name="_Toc21967825"/>
      <w:bookmarkStart w:id="47" w:name="_Toc21506725"/>
      <w:bookmarkStart w:id="48" w:name="_Toc21507034"/>
      <w:bookmarkStart w:id="49" w:name="_Toc11588"/>
      <w:bookmarkStart w:id="50" w:name="_Toc5161"/>
      <w:bookmarkStart w:id="51" w:name="_Toc13523"/>
      <w:bookmarkStart w:id="52" w:name="_Toc1740308402_WPSOffice_Level3"/>
      <w:bookmarkStart w:id="53" w:name="_Toc4888"/>
      <w:bookmarkStart w:id="54" w:name="_Toc14609"/>
      <w:bookmarkStart w:id="55" w:name="_Toc19779"/>
      <w:bookmarkStart w:id="56" w:name="_Toc20700"/>
      <w:r>
        <w:rPr>
          <w:rFonts w:hint="eastAsia" w:ascii="仿宋_GB2312" w:eastAsia="仿宋_GB2312"/>
          <w:b/>
          <w:bCs w:val="0"/>
          <w:sz w:val="28"/>
          <w:szCs w:val="16"/>
          <w:lang w:val="en-US" w:eastAsia="zh-CN"/>
        </w:rPr>
        <w:t>信息管理</w:t>
      </w:r>
      <w:bookmarkEnd w:id="43"/>
      <w:bookmarkEnd w:id="44"/>
    </w:p>
    <w:p>
      <w:pPr>
        <w:pStyle w:val="3"/>
        <w:rPr>
          <w:sz w:val="24"/>
          <w:szCs w:val="24"/>
        </w:rPr>
      </w:pPr>
      <w:bookmarkStart w:id="57" w:name="_Toc256000016"/>
      <w:bookmarkStart w:id="58" w:name="_Toc8739"/>
      <w:r>
        <w:rPr>
          <w:rFonts w:hint="eastAsia"/>
          <w:sz w:val="24"/>
          <w:szCs w:val="24"/>
        </w:rPr>
        <w:t>1</w:t>
      </w:r>
      <w:bookmarkEnd w:id="45"/>
      <w:bookmarkEnd w:id="46"/>
      <w:bookmarkEnd w:id="47"/>
      <w:bookmarkEnd w:id="48"/>
      <w:bookmarkEnd w:id="49"/>
      <w:bookmarkEnd w:id="50"/>
      <w:bookmarkEnd w:id="51"/>
      <w:r>
        <w:rPr>
          <w:rFonts w:hint="eastAsia"/>
          <w:sz w:val="24"/>
          <w:szCs w:val="24"/>
        </w:rPr>
        <w:t>、站内信</w:t>
      </w:r>
      <w:bookmarkEnd w:id="52"/>
      <w:bookmarkEnd w:id="53"/>
      <w:bookmarkEnd w:id="54"/>
      <w:bookmarkEnd w:id="55"/>
      <w:bookmarkEnd w:id="56"/>
      <w:bookmarkEnd w:id="57"/>
      <w:bookmarkEnd w:id="58"/>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169830259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302591" name="图片 6"/>
                    <pic:cNvPicPr>
                      <a:picLocks noChangeAspect="1"/>
                    </pic:cNvPicPr>
                  </pic:nvPicPr>
                  <pic:blipFill>
                    <a:blip r:embed="rId25"/>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59" w:name="_Toc256000017"/>
      <w:bookmarkStart w:id="60" w:name="_Toc23918"/>
      <w:bookmarkStart w:id="61" w:name="_Toc7002"/>
      <w:bookmarkStart w:id="62" w:name="_Toc636040274_WPSOffice_Level3"/>
      <w:bookmarkStart w:id="63" w:name="_Toc12655"/>
      <w:bookmarkStart w:id="64" w:name="_Toc6568"/>
      <w:bookmarkStart w:id="65" w:name="_Toc14049"/>
      <w:r>
        <w:rPr>
          <w:rFonts w:hint="eastAsia"/>
          <w:sz w:val="28"/>
          <w:szCs w:val="28"/>
        </w:rPr>
        <w:t>2、公告管理</w:t>
      </w:r>
      <w:bookmarkEnd w:id="59"/>
      <w:bookmarkEnd w:id="60"/>
      <w:bookmarkEnd w:id="61"/>
      <w:bookmarkEnd w:id="62"/>
      <w:bookmarkEnd w:id="63"/>
      <w:bookmarkEnd w:id="64"/>
      <w:bookmarkEnd w:id="65"/>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26"/>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66" w:name="_Toc6973"/>
      <w:bookmarkStart w:id="67" w:name="_Toc256000018"/>
      <w:r>
        <w:rPr>
          <w:rFonts w:hint="eastAsia" w:ascii="仿宋_GB2312" w:eastAsia="仿宋_GB2312"/>
          <w:b/>
          <w:bCs w:val="0"/>
          <w:sz w:val="28"/>
          <w:szCs w:val="16"/>
          <w:lang w:val="en-US" w:eastAsia="zh-CN"/>
        </w:rPr>
        <w:t>常见问题</w:t>
      </w:r>
      <w:bookmarkEnd w:id="66"/>
      <w:bookmarkEnd w:id="67"/>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FgAA&#10;AGRycy9QSwECFAAUAAAACACHTuJAs0lY7tAAAAAFAQAADwAAAAAAAAABACAAAAA4AAAAZHJzL2Rv&#10;d25yZXYueG1sUEsBAhQAFAAAAAgAh07iQFu11GQsAgAAVgQAAA4AAAAAAAAAAQAgAAAANQEAAGRy&#10;cy9lMm9Eb2MueG1sUEsFBgAAAAAGAAYAWQEAANM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教学院长操作手册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BFDC99F"/>
    <w:rsid w:val="7C0B0F2B"/>
    <w:rsid w:val="7C945CA8"/>
    <w:rsid w:val="7CBA20AA"/>
    <w:rsid w:val="7D884CF3"/>
    <w:rsid w:val="7DC2087C"/>
    <w:rsid w:val="7E4454AB"/>
    <w:rsid w:val="7EA128FE"/>
    <w:rsid w:val="7EFF776B"/>
    <w:rsid w:val="7F337154"/>
    <w:rsid w:val="7FA97CBC"/>
    <w:rsid w:val="7FED152D"/>
    <w:rsid w:val="7FFD7E66"/>
    <w:rsid w:val="CE171D70"/>
    <w:rsid w:val="D7CDF66E"/>
    <w:rsid w:val="E7CA49CF"/>
    <w:rsid w:val="F7AF7F2A"/>
    <w:rsid w:val="F9FFD381"/>
    <w:rsid w:val="FDFED87C"/>
    <w:rsid w:val="FE7BB6CB"/>
    <w:rsid w:val="FEBB4D4C"/>
    <w:rsid w:val="FEFB5316"/>
    <w:rsid w:val="FF1FD1FC"/>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1019</Words>
  <Characters>1132</Characters>
  <Lines>28</Lines>
  <Paragraphs>8</Paragraphs>
  <TotalTime>1</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elk</cp:lastModifiedBy>
  <dcterms:modified xsi:type="dcterms:W3CDTF">2024-09-26T21:46:13Z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